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1"/>
        <w:widowControl w:val="1"/>
        <w:pBdr>
          <w:top w:space="0" w:sz="0" w:val="nil"/>
          <w:left w:space="0" w:sz="0" w:val="nil"/>
          <w:bottom w:space="0" w:sz="0" w:val="nil"/>
          <w:right w:space="0" w:sz="0" w:val="nil"/>
          <w:between w:space="0" w:sz="0" w:val="nil"/>
        </w:pBdr>
        <w:shd w:fill="auto" w:val="clear"/>
        <w:spacing w:after="280" w:before="0" w:line="240" w:lineRule="auto"/>
        <w:ind w:left="3600" w:right="0" w:hanging="60"/>
        <w:jc w:val="righ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  Experiment 2</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480" w:before="0" w:line="240" w:lineRule="auto"/>
        <w:ind w:left="0" w:right="0" w:firstLine="0"/>
        <w:jc w:val="center"/>
        <w:rPr>
          <w:rFonts w:ascii="Arial" w:cs="Arial" w:eastAsia="Arial" w:hAnsi="Arial"/>
          <w:b w:val="1"/>
          <w:bCs w:val="1"/>
          <w:i w:val="0"/>
          <w:iCs w:val="0"/>
          <w:smallCaps w:val="0"/>
          <w:strike w:val="0"/>
          <w:color w:val="000000"/>
          <w:sz w:val="48"/>
          <w:szCs w:val="48"/>
          <w:u w:val="none"/>
          <w:shd w:fill="auto" w:val="clear"/>
          <w:vertAlign w:val="baseline"/>
        </w:rPr>
      </w:pPr>
      <w:bookmarkStart w:colFirst="0" w:colLast="0" w:name="_heading=h.3ig897yu2pdt" w:id="0"/>
      <w:bookmarkEnd w:id="0"/>
      <w:r w:rsidDel="00000000" w:rsidR="00000000" w:rsidRPr="00000000">
        <w:rPr>
          <w:rFonts w:ascii="Arial" w:cs="Arial" w:eastAsia="Arial" w:hAnsi="Arial"/>
          <w:b w:val="1"/>
          <w:bCs w:val="1"/>
          <w:i w:val="0"/>
          <w:iCs w:val="0"/>
          <w:smallCaps w:val="0"/>
          <w:strike w:val="0"/>
          <w:color w:val="000000"/>
          <w:sz w:val="48"/>
          <w:szCs w:val="48"/>
          <w:u w:val="none"/>
          <w:shd w:fill="auto" w:val="clear"/>
          <w:vertAlign w:val="baseline"/>
          <w:rtl w:val="0"/>
        </w:rPr>
        <w:t xml:space="preserve">Drowning Victim</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63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6711220" cy="7251319"/>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711220" cy="7251319"/>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1"/>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Fresh water sources all contain an array of metal ions from natural and artificial sources. Common natural sources are sodium chloride, magnesium fluoride, calcium carbonate (limestone), and magnesium carbonate. The term "hard water" refers to the amount of metal ions in water. Hard water has a higher concentration of metal ions than soft water.</w:t>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14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Ionic solids commonly dissolve in water to various degrees according to this general equation: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drawing>
          <wp:inline distB="0" distT="0" distL="0" distR="0">
            <wp:extent cx="2217420" cy="2667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17420" cy="26670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These equations are sometimes called dissociation equations. Since most water sources contain mixtures of ions, they will conduct electricity. The conductivity of the water samples depends on the concentration of ions in the sample.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 this experiment, you will measure the conductivity of water from the victim’s lungs. Then you will compare it to the conductivity of various water sources from different geographic locations. From the data, you should be able to propose a location where the victim almost drowned.</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rPr>
          <w:rFonts w:ascii="Arial" w:cs="Arial" w:eastAsia="Arial" w:hAnsi="Arial"/>
          <w:b w:val="1"/>
          <w:bCs w:val="1"/>
          <w:i w:val="0"/>
          <w:iCs w:val="0"/>
          <w:smallCaps w:val="1"/>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8"/>
          <w:szCs w:val="28"/>
          <w:u w:val="none"/>
          <w:shd w:fill="auto" w:val="clear"/>
          <w:vertAlign w:val="baseline"/>
          <w:rtl w:val="0"/>
        </w:rPr>
        <w:t xml:space="preserve">OBJECTIVES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547"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Analyze and interpret conductivity data to identify the source of a sample of water using patterns of physical and chemical properties of known bodies of water.</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547"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Use mathematical representations to determine the concentration of ions in a water sample.</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547"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Communicate technical information about the process used to identify the source of a water sample using patterns of physical and chemical properties.</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547"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Explain what causes variations in the conductivity of water samples from different sources.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13" w:before="0" w:line="240" w:lineRule="auto"/>
        <w:ind w:left="547"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Explain how forensic science uses digital tools to address the needs of modern civilization.</w:t>
      </w: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rPr>
          <w:rFonts w:ascii="Arial" w:cs="Arial" w:eastAsia="Arial" w:hAnsi="Arial"/>
          <w:b w:val="1"/>
          <w:bCs w:val="1"/>
          <w:i w:val="0"/>
          <w:iCs w:val="0"/>
          <w:smallCaps w:val="1"/>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8"/>
          <w:szCs w:val="28"/>
          <w:u w:val="none"/>
          <w:shd w:fill="auto" w:val="clear"/>
          <w:vertAlign w:val="baseline"/>
          <w:rtl w:val="0"/>
        </w:rPr>
        <w:t xml:space="preserve">MATERIALS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Chromebook, computer,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mobile device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Graphical Analysis Pro app</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Go Direct Conductivity</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goggles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 test tubes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test tube rack</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 mL graduated cylinder</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distilled water</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wash bottle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waste container</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water sample from victim’s lungs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water samples from geographic locations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grease pencil</w:t>
      </w:r>
    </w:p>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rPr>
          <w:rFonts w:ascii="Arial" w:cs="Arial" w:eastAsia="Arial" w:hAnsi="Arial"/>
          <w:b w:val="1"/>
          <w:bCs w:val="1"/>
          <w:i w:val="0"/>
          <w:iCs w:val="0"/>
          <w:smallCaps w:val="1"/>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8"/>
          <w:szCs w:val="28"/>
          <w:u w:val="none"/>
          <w:shd w:fill="auto" w:val="clear"/>
          <w:vertAlign w:val="baseline"/>
          <w:rtl w:val="0"/>
        </w:rPr>
        <w:t xml:space="preserve">PRE-LAB ACTIVITY</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Water samples, both natural and artificial, can contain dissolved sodium chloride, calcium carbonate, and magnesium fluoride. Write the dissociation equations for each ionic compound in aqueous solution. Include all relevant state symbols. </w:t>
      </w:r>
    </w:p>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rPr>
          <w:rFonts w:ascii="Arial" w:cs="Arial" w:eastAsia="Arial" w:hAnsi="Arial"/>
          <w:b w:val="1"/>
          <w:bCs w:val="1"/>
          <w:i w:val="0"/>
          <w:iCs w:val="0"/>
          <w:smallCaps w:val="1"/>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8"/>
          <w:szCs w:val="28"/>
          <w:u w:val="none"/>
          <w:shd w:fill="auto" w:val="clear"/>
          <w:vertAlign w:val="baseline"/>
          <w:rtl w:val="0"/>
        </w:rPr>
        <w:t xml:space="preserve">PROCEDURE</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Put on safety goggles.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sz w:val="24"/>
          <w:szCs w:val="24"/>
          <w:rtl w:val="0"/>
        </w:rPr>
        <w:t xml:space="preserve">Choose 1 New: 7 Add Vernier DataQuest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Connect the Go Direct Conductivity Probe via bluetooth adapter or wired. </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w:t>
      </w:r>
      <w:r w:rsidDel="00000000" w:rsidR="00000000" w:rsidRPr="00000000">
        <w:rPr>
          <w:sz w:val="24"/>
          <w:szCs w:val="24"/>
          <w:rtl w:val="0"/>
        </w:rPr>
        <w:t xml:space="preserve"> Mode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 open Data Collection Settings. Change the Mode to Event</w:t>
      </w:r>
      <w:r w:rsidDel="00000000" w:rsidR="00000000" w:rsidRPr="00000000">
        <w:rPr>
          <w:sz w:val="24"/>
          <w:szCs w:val="24"/>
          <w:rtl w:val="0"/>
        </w:rPr>
        <w:t xml:space="preserve">s with Entry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Change the Event Name to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Sample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Leave the Units blank. Click </w:t>
      </w:r>
      <w:r w:rsidDel="00000000" w:rsidR="00000000" w:rsidRPr="00000000">
        <w:rPr>
          <w:sz w:val="24"/>
          <w:szCs w:val="24"/>
          <w:rtl w:val="0"/>
        </w:rPr>
        <w:t xml:space="preserve">OK</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w:t>
      </w:r>
      <w:r w:rsidDel="00000000" w:rsidR="00000000" w:rsidRPr="00000000">
        <w:rPr>
          <w:sz w:val="24"/>
          <w:szCs w:val="24"/>
          <w:rtl w:val="0"/>
        </w:rPr>
        <w:t xml:space="preserve">in the box with the conductivity reading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change the Units to mg/L.</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w:t>
      </w:r>
      <w:r w:rsidDel="00000000" w:rsidR="00000000" w:rsidRPr="00000000">
        <w:rPr>
          <w:sz w:val="24"/>
          <w:szCs w:val="24"/>
          <w:rtl w:val="0"/>
        </w:rPr>
        <w:t xml:space="preserve">the green box with the arrow to start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data collection.</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Label a test tube with the grease pencil and place about 3–4 cm of water from the victim’s lungs in a test tube on a test tube rack. Test this amount of water with the conductivity probe. The opening near the tip of the conductivity probe must be completely submerged.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 measure the conductivity of the water sample, place the end of the conductivity probe into the solution. Make sure the opening at the end of the conductivity probe is completely immersed in the liquid. When the reading stabilizes, click or tap </w:t>
      </w:r>
      <w:r w:rsidDel="00000000" w:rsidR="00000000" w:rsidRPr="00000000">
        <w:rPr>
          <w:sz w:val="24"/>
          <w:szCs w:val="24"/>
          <w:rtl w:val="0"/>
        </w:rPr>
        <w:t xml:space="preserve">the camera icon to Keep your data. Name the event,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Victim’s Lungs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for Sample. Click </w:t>
      </w:r>
      <w:r w:rsidDel="00000000" w:rsidR="00000000" w:rsidRPr="00000000">
        <w:rPr>
          <w:sz w:val="24"/>
          <w:szCs w:val="24"/>
          <w:rtl w:val="0"/>
        </w:rPr>
        <w:t xml:space="preserve">OK</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Enter the sample name and conductivity for this sample in the Evidence Record.</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Rinse the conductivity probe with distilled water.</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Repeat Steps 8–11 with water samples from various geographic locations.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Click or tap Stop when you have measured the conductivity of all the water samples.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sz w:val="24"/>
          <w:szCs w:val="24"/>
          <w:rtl w:val="0"/>
        </w:rPr>
        <w:t xml:space="preserve">Press Menu, then 7 Send To. Choose 1 Lists and Spreadsheets.</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sz w:val="24"/>
          <w:szCs w:val="24"/>
          <w:u w:val="none"/>
        </w:rPr>
      </w:pPr>
      <w:r w:rsidDel="00000000" w:rsidR="00000000" w:rsidRPr="00000000">
        <w:rPr>
          <w:sz w:val="24"/>
          <w:szCs w:val="24"/>
          <w:rtl w:val="0"/>
        </w:rPr>
        <w:t xml:space="preserve">Insert a Data and Statistics page.  CTRL then doc. Choose 5, Add Data and Statistics</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sz w:val="24"/>
          <w:szCs w:val="24"/>
          <w:u w:val="none"/>
        </w:rPr>
      </w:pPr>
      <w:r w:rsidDel="00000000" w:rsidR="00000000" w:rsidRPr="00000000">
        <w:rPr>
          <w:sz w:val="24"/>
          <w:szCs w:val="24"/>
          <w:rtl w:val="0"/>
        </w:rPr>
        <w:t xml:space="preserve">Place the sample on your x-axis, press Menu, 2 Plot Properties, then choose 9 Add Y summary list and choose conductivity</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2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Disconnect your conductivity probe and dispose of your samples as directed by your instructor.</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20" w:before="0" w:line="240" w:lineRule="auto"/>
        <w:ind w:left="360" w:right="0" w:hanging="210"/>
        <w:jc w:val="left"/>
        <w:rPr>
          <w:sz w:val="24"/>
          <w:szCs w:val="24"/>
          <w:u w:val="none"/>
        </w:rPr>
      </w:pPr>
      <w:r w:rsidDel="00000000" w:rsidR="00000000" w:rsidRPr="00000000">
        <w:rPr>
          <w:rtl w:val="0"/>
        </w:rPr>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rPr>
          <w:rFonts w:ascii="Arial" w:cs="Arial" w:eastAsia="Arial" w:hAnsi="Arial"/>
          <w:b w:val="1"/>
          <w:bCs w:val="1"/>
          <w:i w:val="0"/>
          <w:iCs w:val="0"/>
          <w:smallCaps w:val="1"/>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8"/>
          <w:szCs w:val="28"/>
          <w:u w:val="none"/>
          <w:shd w:fill="auto" w:val="clear"/>
          <w:vertAlign w:val="baseline"/>
          <w:rtl w:val="0"/>
        </w:rPr>
        <w:t xml:space="preserve">EVIDENCE RECORD</w:t>
      </w:r>
    </w:p>
    <w:tbl>
      <w:tblPr>
        <w:tblStyle w:val="Table1"/>
        <w:tblW w:w="4500.0" w:type="dxa"/>
        <w:jc w:val="center"/>
        <w:tblBorders>
          <w:top w:color="000000" w:space="0" w:sz="4" w:val="single"/>
          <w:left w:color="000000" w:space="0" w:sz="4" w:val="single"/>
          <w:bottom w:color="000000" w:space="0" w:sz="4" w:val="single"/>
          <w:right w:color="000000" w:space="0" w:sz="4" w:val="single"/>
        </w:tblBorders>
        <w:tblLayout w:type="fixed"/>
        <w:tblLook w:val="0400"/>
      </w:tblPr>
      <w:tblGrid>
        <w:gridCol w:w="2250"/>
        <w:gridCol w:w="2250"/>
        <w:tblGridChange w:id="0">
          <w:tblGrid>
            <w:gridCol w:w="2250"/>
            <w:gridCol w:w="2250"/>
          </w:tblGrid>
        </w:tblGridChange>
      </w:tblGrid>
      <w:tr>
        <w:trPr>
          <w:cantSplit w:val="0"/>
          <w:tblHeader w:val="0"/>
        </w:trPr>
        <w:tc>
          <w:tcPr>
            <w:gridSpan w:val="2"/>
            <w:tcBorders>
              <w:bottom w:color="000000" w:space="0" w:sz="4" w:val="single"/>
            </w:tcBorders>
            <w:tcMar>
              <w:top w:w="75.0" w:type="dxa"/>
              <w:left w:w="75.0" w:type="dxa"/>
              <w:bottom w:w="75.0" w:type="dxa"/>
              <w:right w:w="75.0" w:type="dxa"/>
            </w:tcMar>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Table 1</w:t>
            </w:r>
          </w:p>
        </w:tc>
      </w:tr>
      <w:tr>
        <w:trPr>
          <w:cantSplit w:val="0"/>
          <w:tblHeader w:val="0"/>
        </w:trPr>
        <w:tc>
          <w:tcPr>
            <w:tcBorders>
              <w:bottom w:color="000000" w:space="0" w:sz="4" w:val="single"/>
              <w:right w:color="000000" w:space="0" w:sz="4" w:val="single"/>
            </w:tcBorders>
            <w:tcMar>
              <w:top w:w="75.0" w:type="dxa"/>
              <w:left w:w="75.0" w:type="dxa"/>
              <w:bottom w:w="75.0" w:type="dxa"/>
              <w:right w:w="75.0" w:type="dxa"/>
            </w:tcMar>
            <w:vAlign w:val="center"/>
          </w:tcPr>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Sample</w:t>
            </w:r>
          </w:p>
        </w:tc>
        <w:tc>
          <w:tcPr>
            <w:tcBorders>
              <w:bottom w:color="000000" w:space="0" w:sz="4" w:val="single"/>
            </w:tcBorders>
            <w:tcMar>
              <w:top w:w="75.0" w:type="dxa"/>
              <w:left w:w="75.0" w:type="dxa"/>
              <w:bottom w:w="75.0" w:type="dxa"/>
              <w:right w:w="75.0" w:type="dxa"/>
            </w:tcMar>
            <w:vAlign w:val="center"/>
          </w:tcPr>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Conductivity </w:t>
              <w:br w:type="textWrapping"/>
              <w:t xml:space="preserve">(mg/L)</w:t>
            </w:r>
          </w:p>
        </w:tc>
      </w:tr>
      <w:tr>
        <w:trPr>
          <w:cantSplit w:val="0"/>
          <w:tblHeader w:val="0"/>
        </w:trPr>
        <w:tc>
          <w:tcPr>
            <w:tcBorders>
              <w:bottom w:color="000000" w:space="0" w:sz="4" w:val="single"/>
              <w:right w:color="000000" w:space="0" w:sz="4" w:val="single"/>
            </w:tcBorders>
            <w:tcMar>
              <w:top w:w="75.0" w:type="dxa"/>
              <w:left w:w="75.0" w:type="dxa"/>
              <w:bottom w:w="75.0" w:type="dxa"/>
              <w:right w:w="75.0" w:type="dxa"/>
            </w:tcMar>
            <w:vAlign w:val="center"/>
          </w:tcPr>
          <w:p w:rsidR="00000000" w:rsidDel="00000000" w:rsidP="00000000" w:rsidRDefault="00000000" w:rsidRPr="00000000" w14:paraId="0000003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tcBorders>
              <w:bottom w:color="000000" w:space="0" w:sz="4" w:val="single"/>
            </w:tcBorders>
            <w:tcMar>
              <w:top w:w="75.0" w:type="dxa"/>
              <w:left w:w="75.0" w:type="dxa"/>
              <w:bottom w:w="75.0" w:type="dxa"/>
              <w:right w:w="75.0" w:type="dxa"/>
            </w:tcMar>
            <w:vAlign w:val="center"/>
          </w:tcPr>
          <w:p w:rsidR="00000000" w:rsidDel="00000000" w:rsidP="00000000" w:rsidRDefault="00000000" w:rsidRPr="00000000" w14:paraId="00000036">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r>
      <w:tr>
        <w:trPr>
          <w:cantSplit w:val="0"/>
          <w:tblHeader w:val="0"/>
        </w:trPr>
        <w:tc>
          <w:tcPr>
            <w:tcBorders>
              <w:bottom w:color="000000" w:space="0" w:sz="4" w:val="single"/>
              <w:right w:color="000000" w:space="0" w:sz="4" w:val="single"/>
            </w:tcBorders>
            <w:tcMar>
              <w:top w:w="75.0" w:type="dxa"/>
              <w:left w:w="75.0" w:type="dxa"/>
              <w:bottom w:w="75.0" w:type="dxa"/>
              <w:right w:w="75.0" w:type="dxa"/>
            </w:tcMar>
            <w:vAlign w:val="center"/>
          </w:tcPr>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tcBorders>
              <w:bottom w:color="000000" w:space="0" w:sz="4" w:val="single"/>
            </w:tcBorders>
            <w:tcMar>
              <w:top w:w="75.0" w:type="dxa"/>
              <w:left w:w="75.0" w:type="dxa"/>
              <w:bottom w:w="75.0" w:type="dxa"/>
              <w:right w:w="75.0" w:type="dxa"/>
            </w:tcMar>
            <w:vAlign w:val="center"/>
          </w:tcPr>
          <w:p w:rsidR="00000000" w:rsidDel="00000000" w:rsidP="00000000" w:rsidRDefault="00000000" w:rsidRPr="00000000" w14:paraId="00000038">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r>
      <w:tr>
        <w:trPr>
          <w:cantSplit w:val="0"/>
          <w:tblHeader w:val="0"/>
        </w:trPr>
        <w:tc>
          <w:tcPr>
            <w:tcBorders>
              <w:bottom w:color="000000" w:space="0" w:sz="4" w:val="single"/>
              <w:right w:color="000000" w:space="0" w:sz="4" w:val="single"/>
            </w:tcBorders>
            <w:tcMar>
              <w:top w:w="75.0" w:type="dxa"/>
              <w:left w:w="75.0" w:type="dxa"/>
              <w:bottom w:w="75.0" w:type="dxa"/>
              <w:right w:w="75.0" w:type="dxa"/>
            </w:tcMar>
            <w:vAlign w:val="center"/>
          </w:tcPr>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tcBorders>
              <w:bottom w:color="000000" w:space="0" w:sz="4" w:val="single"/>
            </w:tcBorders>
            <w:tcMar>
              <w:top w:w="75.0" w:type="dxa"/>
              <w:left w:w="75.0" w:type="dxa"/>
              <w:bottom w:w="75.0" w:type="dxa"/>
              <w:right w:w="75.0" w:type="dxa"/>
            </w:tcMar>
            <w:vAlign w:val="center"/>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r>
      <w:tr>
        <w:trPr>
          <w:cantSplit w:val="0"/>
          <w:tblHeader w:val="0"/>
        </w:trPr>
        <w:tc>
          <w:tcPr>
            <w:tcBorders>
              <w:bottom w:color="000000" w:space="0" w:sz="4" w:val="single"/>
              <w:right w:color="000000" w:space="0" w:sz="4" w:val="single"/>
            </w:tcBorders>
            <w:tcMar>
              <w:top w:w="75.0" w:type="dxa"/>
              <w:left w:w="75.0" w:type="dxa"/>
              <w:bottom w:w="75.0" w:type="dxa"/>
              <w:right w:w="75.0" w:type="dxa"/>
            </w:tcMar>
            <w:vAlign w:val="cente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tcBorders>
              <w:bottom w:color="000000" w:space="0" w:sz="4" w:val="single"/>
            </w:tcBorders>
            <w:tcMar>
              <w:top w:w="75.0" w:type="dxa"/>
              <w:left w:w="75.0" w:type="dxa"/>
              <w:bottom w:w="75.0" w:type="dxa"/>
              <w:right w:w="75.0" w:type="dxa"/>
            </w:tcMar>
            <w:vAlign w:val="cente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r>
      <w:tr>
        <w:trPr>
          <w:cantSplit w:val="0"/>
          <w:tblHeader w:val="0"/>
        </w:trPr>
        <w:tc>
          <w:tcPr>
            <w:tcBorders>
              <w:bottom w:color="000000" w:space="0" w:sz="4" w:val="single"/>
              <w:right w:color="000000" w:space="0" w:sz="4" w:val="single"/>
            </w:tcBorders>
            <w:tcMar>
              <w:top w:w="75.0" w:type="dxa"/>
              <w:left w:w="75.0" w:type="dxa"/>
              <w:bottom w:w="75.0" w:type="dxa"/>
              <w:right w:w="75.0" w:type="dxa"/>
            </w:tcMar>
            <w:vAlign w:val="cente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c>
          <w:tcPr>
            <w:tcBorders>
              <w:bottom w:color="000000" w:space="0" w:sz="4" w:val="single"/>
            </w:tcBorders>
            <w:tcMar>
              <w:top w:w="75.0" w:type="dxa"/>
              <w:left w:w="75.0" w:type="dxa"/>
              <w:bottom w:w="75.0" w:type="dxa"/>
              <w:right w:w="75.0" w:type="dxa"/>
            </w:tcMar>
            <w:vAlign w:val="cente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tc>
      </w:tr>
    </w:tbl>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rPr>
          <w:rFonts w:ascii="Arial" w:cs="Arial" w:eastAsia="Arial" w:hAnsi="Arial"/>
          <w:b w:val="1"/>
          <w:bCs w:val="1"/>
          <w:i w:val="0"/>
          <w:iCs w:val="0"/>
          <w:smallCaps w:val="1"/>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8"/>
          <w:szCs w:val="28"/>
          <w:u w:val="none"/>
          <w:shd w:fill="auto" w:val="clear"/>
          <w:vertAlign w:val="baseline"/>
          <w:rtl w:val="0"/>
        </w:rPr>
        <w:t xml:space="preserve">CASE ANALYSIS</w:t>
      </w:r>
    </w:p>
    <w:p w:rsidR="00000000" w:rsidDel="00000000" w:rsidP="00000000" w:rsidRDefault="00000000" w:rsidRPr="00000000" w14:paraId="000000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From which geographic location did the conductivity match that of the sample from the victim’s lungs? Explain your answer.</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Why might the conductivity of pool water be different from </w:t>
      </w:r>
      <w:r w:rsidDel="00000000" w:rsidR="00000000" w:rsidRPr="00000000">
        <w:rPr>
          <w:sz w:val="24"/>
          <w:szCs w:val="24"/>
          <w:rtl w:val="0"/>
        </w:rPr>
        <w:t xml:space="preserve">that of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lake or river water?</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320" w:before="0" w:line="240" w:lineRule="auto"/>
        <w:ind w:left="360"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Solution concentrations in chemistry are most frequently expressed as molarity or moles per liter of solution. A common distribution of ions in groundwater is 45% sodium, 35% calcium, and 20% magnesium. Using this distribution, calculate the concentration of each of these ions in moles per liter for the water sample from the victim’s lungs. </w:t>
      </w:r>
      <w:r w:rsidDel="00000000" w:rsidR="00000000" w:rsidRPr="00000000">
        <w:rPr>
          <w:rtl w:val="0"/>
        </w:rPr>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rPr>
          <w:rFonts w:ascii="Arial" w:cs="Arial" w:eastAsia="Arial" w:hAnsi="Arial"/>
          <w:b w:val="1"/>
          <w:bCs w:val="1"/>
          <w:i w:val="0"/>
          <w:iCs w:val="0"/>
          <w:smallCaps w:val="1"/>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8"/>
          <w:szCs w:val="28"/>
          <w:u w:val="none"/>
          <w:shd w:fill="auto" w:val="clear"/>
          <w:vertAlign w:val="baseline"/>
          <w:rtl w:val="0"/>
        </w:rPr>
        <w:t xml:space="preserve">CASE REPORT</w:t>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14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When you write your case report, make sure to include graphs, supporting data, and</w:t>
      </w:r>
    </w:p>
    <w:p w:rsidR="00000000" w:rsidDel="00000000" w:rsidP="00000000" w:rsidRDefault="00000000" w:rsidRPr="00000000" w14:paraId="000000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0" w:line="240" w:lineRule="auto"/>
        <w:ind w:left="547"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How did you determine the source of the water in the victim’s lungs?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13" w:before="0" w:line="240" w:lineRule="auto"/>
        <w:ind w:left="547" w:right="0" w:hanging="21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Why does the conductivity of water samples from different sources vary?</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13"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13"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13"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13"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13"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13"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13" w:before="0" w:line="240" w:lineRule="auto"/>
        <w:ind w:right="0"/>
        <w:jc w:val="left"/>
        <w:rPr>
          <w:sz w:val="24"/>
          <w:szCs w:val="24"/>
        </w:rPr>
      </w:pPr>
      <w:r w:rsidDel="00000000" w:rsidR="00000000" w:rsidRPr="00000000">
        <w:rPr>
          <w:sz w:val="24"/>
          <w:szCs w:val="24"/>
          <w:rtl w:val="0"/>
        </w:rPr>
        <w:t xml:space="preserve">Teacher Information</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13" w:before="0" w:line="240" w:lineRule="auto"/>
        <w:ind w:right="0"/>
        <w:jc w:val="left"/>
        <w:rPr>
          <w:sz w:val="24"/>
          <w:szCs w:val="24"/>
        </w:rPr>
      </w:pPr>
      <w:r w:rsidDel="00000000" w:rsidR="00000000" w:rsidRPr="00000000">
        <w:rPr>
          <w:sz w:val="24"/>
          <w:szCs w:val="24"/>
        </w:rPr>
        <w:drawing>
          <wp:inline distB="114300" distT="114300" distL="114300" distR="114300">
            <wp:extent cx="6019800" cy="2095500"/>
            <wp:effectExtent b="0" l="0" r="0" t="0"/>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6019800" cy="2095500"/>
                    </a:xfrm>
                    <a:prstGeom prst="rect"/>
                    <a:ln/>
                  </pic:spPr>
                </pic:pic>
              </a:graphicData>
            </a:graphic>
          </wp:inline>
        </w:drawing>
      </w: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5840" w:w="12240" w:orient="portrait"/>
      <w:pgMar w:bottom="1035" w:top="705" w:left="1440" w:right="1155" w:header="420" w:footer="52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 w:name="defaul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645.0" w:type="dxa"/>
      <w:jc w:val="left"/>
      <w:tblLayout w:type="fixed"/>
      <w:tblLook w:val="0400"/>
    </w:tblPr>
    <w:tblGrid>
      <w:gridCol w:w="6730"/>
      <w:gridCol w:w="2446"/>
      <w:gridCol w:w="469"/>
      <w:tblGridChange w:id="0">
        <w:tblGrid>
          <w:gridCol w:w="6730"/>
          <w:gridCol w:w="2446"/>
          <w:gridCol w:w="469"/>
        </w:tblGrid>
      </w:tblGridChange>
    </w:tblGrid>
    <w:tr>
      <w:trPr>
        <w:cantSplit w:val="0"/>
        <w:tblHeader w:val="0"/>
      </w:trPr>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0"/>
              <w:szCs w:val="20"/>
              <w:u w:val="none"/>
              <w:shd w:fill="auto" w:val="clear"/>
              <w:vertAlign w:val="baseline"/>
              <w:rtl w:val="0"/>
            </w:rPr>
            <w:t xml:space="preserve">Forensic Chemistry Experiments</w:t>
          </w:r>
          <w:r w:rsidDel="00000000" w:rsidR="00000000" w:rsidRPr="00000000">
            <w:rPr>
              <w:rtl w:val="0"/>
            </w:rPr>
          </w:r>
        </w:p>
      </w:tc>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1"/>
              <w:iCs w:val="1"/>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9645.0" w:type="dxa"/>
      <w:jc w:val="left"/>
      <w:tblLayout w:type="fixed"/>
      <w:tblLook w:val="0400"/>
    </w:tblPr>
    <w:tblGrid>
      <w:gridCol w:w="4905"/>
      <w:gridCol w:w="4392"/>
      <w:gridCol w:w="348"/>
      <w:tblGridChange w:id="0">
        <w:tblGrid>
          <w:gridCol w:w="4905"/>
          <w:gridCol w:w="4392"/>
          <w:gridCol w:w="348"/>
        </w:tblGrid>
      </w:tblGridChange>
    </w:tblGrid>
    <w:tr>
      <w:trPr>
        <w:cantSplit w:val="0"/>
        <w:tblHeader w:val="0"/>
      </w:trPr>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0"/>
              <w:szCs w:val="20"/>
              <w:u w:val="none"/>
              <w:shd w:fill="auto" w:val="clear"/>
              <w:vertAlign w:val="baseline"/>
              <w:rtl w:val="0"/>
            </w:rPr>
            <w:t xml:space="preserve">Forensic Chemistry Experiments</w:t>
          </w:r>
          <w:r w:rsidDel="00000000" w:rsidR="00000000" w:rsidRPr="00000000">
            <w:rPr>
              <w:rtl w:val="0"/>
            </w:rPr>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1"/>
              <w:bCs w:val="1"/>
              <w:i w:val="1"/>
              <w:iCs w:val="1"/>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16"/>
              <w:szCs w:val="16"/>
              <w:u w:val="none"/>
              <w:shd w:fill="auto" w:val="clear"/>
              <w:vertAlign w:val="baseline"/>
              <w:rtl w:val="0"/>
            </w:rPr>
            <w:t xml:space="preserve">© Vernier Science Education</w:t>
          </w:r>
          <w:r w:rsidDel="00000000" w:rsidR="00000000" w:rsidRPr="00000000">
            <w:rPr>
              <w:rtl w:val="0"/>
            </w:rPr>
          </w:r>
        </w:p>
      </w:tc>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tblW w:w="9645.0" w:type="dxa"/>
      <w:jc w:val="left"/>
      <w:tblLayout w:type="fixed"/>
      <w:tblLook w:val="0400"/>
    </w:tblPr>
    <w:tblGrid>
      <w:gridCol w:w="454"/>
      <w:gridCol w:w="2204"/>
      <w:gridCol w:w="6987"/>
      <w:tblGridChange w:id="0">
        <w:tblGrid>
          <w:gridCol w:w="454"/>
          <w:gridCol w:w="2204"/>
          <w:gridCol w:w="6987"/>
        </w:tblGrid>
      </w:tblGridChange>
    </w:tblGrid>
    <w:tr>
      <w:trPr>
        <w:cantSplit w:val="0"/>
        <w:tblHeader w:val="0"/>
      </w:trPr>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efault" w:cs="default" w:eastAsia="default" w:hAnsi="default"/>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0"/>
              <w:szCs w:val="20"/>
              <w:u w:val="none"/>
              <w:shd w:fill="auto" w:val="clear"/>
              <w:vertAlign w:val="baseline"/>
              <w:rtl w:val="0"/>
            </w:rPr>
            <w:t xml:space="preserve">Forensic Chemistry Experiments</w:t>
          </w:r>
          <w:r w:rsidDel="00000000" w:rsidR="00000000" w:rsidRPr="00000000">
            <w:rPr>
              <w:rtl w:val="0"/>
            </w:rPr>
          </w:r>
        </w:p>
      </w:tc>
    </w:tr>
  </w:tbl>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Drowning Victim</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1"/>
        <w:bCs w:val="1"/>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Drowning Victim</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right"/>
      <w:pPr>
        <w:ind w:left="540" w:hanging="210"/>
      </w:pPr>
      <w:rPr>
        <w:rFonts w:ascii="Times New Roman" w:cs="Times New Roman" w:eastAsia="Times New Roman" w:hAnsi="Times New Roman"/>
        <w:color w:val="000000"/>
        <w:sz w:val="24"/>
        <w:szCs w:val="24"/>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right"/>
      <w:pPr>
        <w:ind w:left="360" w:hanging="210"/>
      </w:pPr>
      <w:rPr>
        <w:rFonts w:ascii="Times New Roman" w:cs="Times New Roman" w:eastAsia="Times New Roman" w:hAnsi="Times New Roman"/>
        <w:color w:val="000000"/>
        <w:sz w:val="24"/>
        <w:szCs w:val="24"/>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decimal"/>
      <w:lvlText w:val="%1."/>
      <w:lvlJc w:val="right"/>
      <w:pPr>
        <w:ind w:left="360" w:hanging="210"/>
      </w:pPr>
      <w:rPr>
        <w:rFonts w:ascii="Times New Roman" w:cs="Times New Roman" w:eastAsia="Times New Roman" w:hAnsi="Times New Roman"/>
        <w:color w:val="000000"/>
        <w:sz w:val="24"/>
        <w:szCs w:val="24"/>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0"/>
      <w:numFmt w:val="bullet"/>
      <w:lvlText w:val="●"/>
      <w:lvlJc w:val="right"/>
      <w:pPr>
        <w:ind w:left="540" w:hanging="210"/>
      </w:pPr>
      <w:rPr>
        <w:rFonts w:ascii="Times New Roman" w:cs="Times New Roman" w:eastAsia="Times New Roman" w:hAnsi="Times New Roman"/>
        <w:color w:val="000000"/>
        <w:sz w:val="24"/>
        <w:szCs w:val="24"/>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rqJwC+7mY3yQsOsxpEjjpjF5xw==">CgMxLjAyDmguM2lnODk3eXUycGR0OAByITFNbDdDZHRQLU52b2VUUUZ4MTAycHVuLTA1YnNta080ZQ==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